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3EEB" w14:textId="77777777" w:rsidR="00E27F39" w:rsidRDefault="00E27F39">
      <w:pPr>
        <w:spacing w:line="240" w:lineRule="auto"/>
        <w:rPr>
          <w:rFonts w:cs="Calibri"/>
          <w:i/>
          <w:color w:val="16365D"/>
          <w:sz w:val="52"/>
          <w:szCs w:val="52"/>
        </w:rPr>
      </w:pPr>
      <w:bookmarkStart w:id="0" w:name="_Hlk153375821"/>
    </w:p>
    <w:p w14:paraId="1C323EEC" w14:textId="77777777" w:rsidR="00E27F39" w:rsidRDefault="00A83124">
      <w:pPr>
        <w:spacing w:line="240" w:lineRule="auto"/>
        <w:jc w:val="center"/>
        <w:rPr>
          <w:rFonts w:cs="Calibri"/>
          <w:i/>
          <w:color w:val="16365D"/>
          <w:sz w:val="52"/>
          <w:szCs w:val="52"/>
        </w:rPr>
      </w:pPr>
      <w:r>
        <w:rPr>
          <w:rFonts w:cs="Calibri"/>
          <w:b/>
          <w:bCs/>
          <w:noProof/>
          <w:color w:val="345A89"/>
          <w:sz w:val="32"/>
          <w:szCs w:val="32"/>
        </w:rPr>
        <w:drawing>
          <wp:anchor distT="0" distB="0" distL="114300" distR="114300" simplePos="0" relativeHeight="251658240" behindDoc="0" locked="0" layoutInCell="1" allowOverlap="1" wp14:anchorId="1C323F24" wp14:editId="0B8182B3">
            <wp:simplePos x="0" y="0"/>
            <wp:positionH relativeFrom="column">
              <wp:posOffset>1043305</wp:posOffset>
            </wp:positionH>
            <wp:positionV relativeFrom="paragraph">
              <wp:posOffset>244475</wp:posOffset>
            </wp:positionV>
            <wp:extent cx="3867150" cy="2257425"/>
            <wp:effectExtent l="0" t="0" r="0" b="9525"/>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867150" cy="2257425"/>
                    </a:xfrm>
                    <a:prstGeom prst="rect">
                      <a:avLst/>
                    </a:prstGeom>
                  </pic:spPr>
                </pic:pic>
              </a:graphicData>
            </a:graphic>
            <wp14:sizeRelV relativeFrom="margin">
              <wp14:pctHeight>0</wp14:pctHeight>
            </wp14:sizeRelV>
          </wp:anchor>
        </w:drawing>
      </w:r>
    </w:p>
    <w:p w14:paraId="1C323EED" w14:textId="77777777" w:rsidR="00E27F39" w:rsidRDefault="00E27F39">
      <w:pPr>
        <w:spacing w:line="240" w:lineRule="auto"/>
        <w:jc w:val="center"/>
        <w:rPr>
          <w:rFonts w:cs="Calibri"/>
          <w:i/>
          <w:color w:val="16365D"/>
          <w:sz w:val="52"/>
          <w:szCs w:val="52"/>
        </w:rPr>
      </w:pPr>
    </w:p>
    <w:p w14:paraId="1C323EEE" w14:textId="77777777" w:rsidR="00E27F39" w:rsidRDefault="00E27F39">
      <w:pPr>
        <w:spacing w:line="240" w:lineRule="auto"/>
        <w:jc w:val="center"/>
        <w:rPr>
          <w:rFonts w:cs="Calibri"/>
          <w:i/>
          <w:color w:val="16365D"/>
          <w:sz w:val="52"/>
          <w:szCs w:val="52"/>
        </w:rPr>
      </w:pPr>
    </w:p>
    <w:p w14:paraId="1C323EEF" w14:textId="77777777" w:rsidR="00E27F39" w:rsidRDefault="00E27F39">
      <w:pPr>
        <w:spacing w:line="240" w:lineRule="auto"/>
        <w:jc w:val="center"/>
        <w:rPr>
          <w:rFonts w:cs="Calibri"/>
          <w:i/>
          <w:color w:val="16365D"/>
          <w:sz w:val="52"/>
          <w:szCs w:val="52"/>
        </w:rPr>
      </w:pPr>
    </w:p>
    <w:p w14:paraId="1C323EF0" w14:textId="77777777" w:rsidR="00E27F39" w:rsidRDefault="00E27F39">
      <w:pPr>
        <w:spacing w:line="240" w:lineRule="auto"/>
        <w:jc w:val="center"/>
        <w:rPr>
          <w:rFonts w:cs="Calibri"/>
          <w:i/>
          <w:color w:val="16365D"/>
          <w:sz w:val="52"/>
          <w:szCs w:val="52"/>
        </w:rPr>
      </w:pPr>
    </w:p>
    <w:p w14:paraId="1C323EF1" w14:textId="77777777" w:rsidR="00E27F39" w:rsidRDefault="00E27F39">
      <w:pPr>
        <w:spacing w:line="240" w:lineRule="auto"/>
        <w:jc w:val="center"/>
        <w:rPr>
          <w:rFonts w:cs="Calibri"/>
          <w:i/>
          <w:color w:val="16365D"/>
          <w:sz w:val="52"/>
          <w:szCs w:val="52"/>
        </w:rPr>
      </w:pPr>
    </w:p>
    <w:p w14:paraId="1C323EF2" w14:textId="77777777" w:rsidR="00E27F39" w:rsidRDefault="00E27F39">
      <w:pPr>
        <w:spacing w:line="240" w:lineRule="auto"/>
        <w:jc w:val="center"/>
        <w:rPr>
          <w:rFonts w:cs="Calibri"/>
          <w:i/>
          <w:color w:val="16365D"/>
          <w:sz w:val="52"/>
          <w:szCs w:val="52"/>
        </w:rPr>
      </w:pPr>
    </w:p>
    <w:p w14:paraId="1C323EF3" w14:textId="77777777" w:rsidR="00E27F39" w:rsidRDefault="00E27F39">
      <w:pPr>
        <w:spacing w:line="240" w:lineRule="auto"/>
        <w:jc w:val="center"/>
        <w:rPr>
          <w:rFonts w:cs="Calibri"/>
          <w:i/>
          <w:color w:val="16365D"/>
          <w:sz w:val="52"/>
          <w:szCs w:val="52"/>
        </w:rPr>
      </w:pPr>
    </w:p>
    <w:p w14:paraId="1C323EF4" w14:textId="77777777" w:rsidR="00E27F39" w:rsidRDefault="00E27F39">
      <w:pPr>
        <w:spacing w:line="240" w:lineRule="auto"/>
        <w:jc w:val="center"/>
        <w:rPr>
          <w:rFonts w:cs="Calibri"/>
          <w:i/>
          <w:color w:val="16365D"/>
          <w:sz w:val="52"/>
          <w:szCs w:val="52"/>
        </w:rPr>
      </w:pPr>
    </w:p>
    <w:p w14:paraId="1C323EF5" w14:textId="77777777" w:rsidR="00E27F39" w:rsidRDefault="00A83124">
      <w:pPr>
        <w:spacing w:line="240" w:lineRule="auto"/>
        <w:jc w:val="center"/>
        <w:rPr>
          <w:rFonts w:cs="Calibri"/>
          <w:b/>
          <w:bCs/>
          <w:i/>
          <w:smallCaps/>
          <w:color w:val="16365D"/>
          <w:sz w:val="72"/>
          <w:szCs w:val="72"/>
        </w:rPr>
      </w:pPr>
      <w:r>
        <w:rPr>
          <w:rFonts w:cs="Calibri"/>
          <w:b/>
          <w:bCs/>
          <w:i/>
          <w:smallCaps/>
          <w:color w:val="16365D"/>
          <w:sz w:val="72"/>
          <w:szCs w:val="72"/>
        </w:rPr>
        <w:t>Appel à Projets MED’INNOV</w:t>
      </w:r>
    </w:p>
    <w:p w14:paraId="1C323EF6" w14:textId="77777777" w:rsidR="00E27F39" w:rsidRDefault="00A83124">
      <w:pPr>
        <w:spacing w:line="240" w:lineRule="auto"/>
        <w:jc w:val="center"/>
        <w:rPr>
          <w:rFonts w:cs="Calibri"/>
          <w:b/>
          <w:bCs/>
          <w:i/>
          <w:smallCaps/>
          <w:color w:val="16365D"/>
          <w:sz w:val="72"/>
          <w:szCs w:val="72"/>
        </w:rPr>
      </w:pPr>
      <w:r>
        <w:rPr>
          <w:rFonts w:cs="Calibri"/>
          <w:b/>
          <w:bCs/>
          <w:i/>
          <w:smallCaps/>
          <w:color w:val="16365D"/>
          <w:sz w:val="40"/>
          <w:szCs w:val="40"/>
        </w:rPr>
        <w:t xml:space="preserve"> </w:t>
      </w:r>
      <w:r>
        <w:rPr>
          <w:rFonts w:cs="Calibri"/>
          <w:b/>
          <w:bCs/>
          <w:i/>
          <w:smallCaps/>
          <w:color w:val="16365D"/>
          <w:sz w:val="72"/>
          <w:szCs w:val="72"/>
        </w:rPr>
        <w:t xml:space="preserve">« </w:t>
      </w:r>
      <w:proofErr w:type="gramStart"/>
      <w:r>
        <w:rPr>
          <w:rFonts w:cs="Calibri"/>
          <w:b/>
          <w:bCs/>
          <w:i/>
          <w:smallCaps/>
          <w:color w:val="16365D"/>
          <w:sz w:val="56"/>
          <w:szCs w:val="56"/>
        </w:rPr>
        <w:t>Complément  Pre</w:t>
      </w:r>
      <w:proofErr w:type="gramEnd"/>
      <w:r>
        <w:rPr>
          <w:rFonts w:cs="Calibri"/>
          <w:b/>
          <w:bCs/>
          <w:i/>
          <w:smallCaps/>
          <w:color w:val="16365D"/>
          <w:sz w:val="56"/>
          <w:szCs w:val="56"/>
        </w:rPr>
        <w:t xml:space="preserve">-maturation SNA </w:t>
      </w:r>
      <w:r>
        <w:rPr>
          <w:rFonts w:cs="Calibri"/>
          <w:b/>
          <w:bCs/>
          <w:i/>
          <w:smallCaps/>
          <w:color w:val="16365D"/>
          <w:sz w:val="72"/>
          <w:szCs w:val="72"/>
        </w:rPr>
        <w:t>»</w:t>
      </w:r>
    </w:p>
    <w:p w14:paraId="1C323EF7" w14:textId="77777777" w:rsidR="00E27F39" w:rsidRDefault="00E27F39">
      <w:pPr>
        <w:spacing w:line="240" w:lineRule="auto"/>
        <w:jc w:val="center"/>
        <w:rPr>
          <w:rFonts w:cs="Calibri"/>
          <w:color w:val="16365D"/>
          <w:sz w:val="52"/>
          <w:szCs w:val="52"/>
        </w:rPr>
      </w:pPr>
    </w:p>
    <w:p w14:paraId="1C323EF8" w14:textId="77777777" w:rsidR="00E27F39" w:rsidRDefault="00E27F39">
      <w:pPr>
        <w:spacing w:line="240" w:lineRule="auto"/>
        <w:jc w:val="center"/>
        <w:rPr>
          <w:rFonts w:cs="Calibri"/>
          <w:color w:val="16365D"/>
          <w:sz w:val="52"/>
          <w:szCs w:val="52"/>
        </w:rPr>
      </w:pPr>
    </w:p>
    <w:p w14:paraId="1C323EF9" w14:textId="77777777" w:rsidR="00E27F39" w:rsidRDefault="00E27F39">
      <w:pPr>
        <w:spacing w:line="240" w:lineRule="auto"/>
        <w:jc w:val="center"/>
        <w:rPr>
          <w:rFonts w:cs="Calibri"/>
          <w:color w:val="16365D"/>
          <w:sz w:val="52"/>
          <w:szCs w:val="52"/>
        </w:rPr>
      </w:pPr>
    </w:p>
    <w:p w14:paraId="1C323EFA" w14:textId="77777777" w:rsidR="00E27F39" w:rsidRDefault="00A83124">
      <w:pPr>
        <w:spacing w:line="240" w:lineRule="auto"/>
        <w:jc w:val="center"/>
        <w:rPr>
          <w:rFonts w:cs="Calibri"/>
          <w:b/>
          <w:bCs/>
          <w:color w:val="002060"/>
          <w:sz w:val="32"/>
          <w:szCs w:val="32"/>
        </w:rPr>
      </w:pPr>
      <w:r>
        <w:rPr>
          <w:rFonts w:cs="Calibri"/>
          <w:b/>
          <w:bCs/>
          <w:color w:val="002060"/>
          <w:sz w:val="32"/>
          <w:szCs w:val="32"/>
        </w:rPr>
        <w:t>Cadre de l’Appel à Projets</w:t>
      </w:r>
    </w:p>
    <w:p w14:paraId="1C323EFB" w14:textId="77777777" w:rsidR="00E27F39" w:rsidRDefault="00E27F39">
      <w:pPr>
        <w:spacing w:line="240" w:lineRule="auto"/>
        <w:jc w:val="center"/>
        <w:rPr>
          <w:rFonts w:cs="Calibri"/>
          <w:b/>
          <w:bCs/>
          <w:color w:val="002060"/>
          <w:sz w:val="32"/>
          <w:szCs w:val="32"/>
        </w:rPr>
      </w:pPr>
    </w:p>
    <w:p w14:paraId="1C323EFC" w14:textId="77777777" w:rsidR="00E27F39" w:rsidRDefault="00E27F39">
      <w:pPr>
        <w:spacing w:line="240" w:lineRule="auto"/>
        <w:rPr>
          <w:rFonts w:cs="Calibri"/>
          <w:b/>
          <w:bCs/>
          <w:color w:val="002060"/>
          <w:sz w:val="32"/>
          <w:szCs w:val="32"/>
        </w:rPr>
      </w:pPr>
    </w:p>
    <w:p w14:paraId="1C323EFD" w14:textId="77777777" w:rsidR="00E27F39" w:rsidRDefault="00E27F39">
      <w:pPr>
        <w:spacing w:line="240" w:lineRule="auto"/>
        <w:rPr>
          <w:rFonts w:cs="Calibri"/>
          <w:b/>
          <w:bCs/>
          <w:color w:val="345A89"/>
          <w:sz w:val="32"/>
          <w:szCs w:val="32"/>
          <w:u w:val="single"/>
        </w:rPr>
      </w:pPr>
    </w:p>
    <w:p w14:paraId="1C323EFE" w14:textId="77777777" w:rsidR="00E27F39" w:rsidRDefault="00A83124">
      <w:pPr>
        <w:rPr>
          <w:rFonts w:cs="Calibri"/>
          <w:b/>
          <w:bCs/>
          <w:color w:val="345A89"/>
          <w:sz w:val="32"/>
          <w:szCs w:val="32"/>
          <w:u w:val="single"/>
        </w:rPr>
      </w:pPr>
      <w:r>
        <w:rPr>
          <w:rFonts w:cs="Calibri"/>
          <w:b/>
          <w:bCs/>
          <w:color w:val="345A89"/>
          <w:sz w:val="32"/>
          <w:szCs w:val="32"/>
          <w:u w:val="single"/>
        </w:rPr>
        <w:br w:type="page" w:clear="all"/>
      </w:r>
    </w:p>
    <w:p w14:paraId="1C323EFF" w14:textId="77777777" w:rsidR="00E27F39" w:rsidRDefault="00E27F39">
      <w:bookmarkStart w:id="1" w:name="_Hlk158032456"/>
    </w:p>
    <w:p w14:paraId="1C323F00" w14:textId="77777777" w:rsidR="00E27F39" w:rsidRDefault="00A83124">
      <w:pPr>
        <w:rPr>
          <w:rStyle w:val="normaltextrun"/>
        </w:rPr>
      </w:pPr>
      <w:bookmarkStart w:id="2" w:name="_Hlk163465097"/>
      <w:r>
        <w:rPr>
          <w:rStyle w:val="normaltextrun"/>
        </w:rPr>
        <w:t xml:space="preserve">Le Pôle Universitaire d’Innovation MED’INNOV </w:t>
      </w:r>
      <w:r>
        <w:rPr>
          <w:rStyle w:val="normaltextrun"/>
        </w:rPr>
        <w:t>porté par Université Côte d’Azur, l’</w:t>
      </w:r>
      <w:proofErr w:type="spellStart"/>
      <w:r>
        <w:rPr>
          <w:rStyle w:val="normaltextrun"/>
        </w:rPr>
        <w:t>Università</w:t>
      </w:r>
      <w:proofErr w:type="spellEnd"/>
      <w:r>
        <w:rPr>
          <w:rStyle w:val="normaltextrun"/>
        </w:rPr>
        <w:t xml:space="preserve"> di Corsica Pasquale Paoli et 10 autres acteurs majeurs de l’Innovation azuréenne et Corse, ambitionne d’accélérer la dynamique d’innovation locale, européenne et internationale sur et pour ses territoires. </w:t>
      </w:r>
      <w:bookmarkEnd w:id="2"/>
    </w:p>
    <w:p w14:paraId="1C323F01" w14:textId="77777777" w:rsidR="00E27F39" w:rsidRDefault="00E27F39"/>
    <w:p w14:paraId="1C323F02" w14:textId="77777777" w:rsidR="00E27F39" w:rsidRDefault="00A83124">
      <w:pPr>
        <w:pStyle w:val="Paragraphedeliste"/>
        <w:numPr>
          <w:ilvl w:val="0"/>
          <w:numId w:val="6"/>
        </w:numPr>
        <w:spacing w:line="240" w:lineRule="auto"/>
        <w:rPr>
          <w:rFonts w:cstheme="minorHAnsi"/>
          <w:b/>
          <w:bCs/>
          <w:color w:val="345A89"/>
        </w:rPr>
      </w:pPr>
      <w:r>
        <w:rPr>
          <w:rFonts w:cstheme="minorHAnsi"/>
          <w:b/>
          <w:bCs/>
          <w:color w:val="345A89"/>
        </w:rPr>
        <w:t xml:space="preserve">Objet de l’appel à projets </w:t>
      </w:r>
    </w:p>
    <w:p w14:paraId="1C323F03" w14:textId="77777777" w:rsidR="00E27F39" w:rsidRDefault="00E27F39">
      <w:pPr>
        <w:rPr>
          <w:rFonts w:cstheme="minorHAnsi"/>
        </w:rPr>
      </w:pPr>
    </w:p>
    <w:p w14:paraId="1C323F04" w14:textId="77777777" w:rsidR="00E27F39" w:rsidRDefault="00A83124">
      <w:pPr>
        <w:spacing w:line="240" w:lineRule="auto"/>
        <w:rPr>
          <w:rFonts w:cstheme="minorHAnsi"/>
        </w:rPr>
      </w:pPr>
      <w:r>
        <w:rPr>
          <w:rFonts w:cstheme="minorHAnsi"/>
        </w:rPr>
        <w:t xml:space="preserve">L’appel à projet « complément </w:t>
      </w:r>
      <w:proofErr w:type="spellStart"/>
      <w:r>
        <w:rPr>
          <w:rFonts w:cstheme="minorHAnsi"/>
        </w:rPr>
        <w:t>pré-maturation</w:t>
      </w:r>
      <w:proofErr w:type="spellEnd"/>
      <w:r>
        <w:rPr>
          <w:rFonts w:cstheme="minorHAnsi"/>
        </w:rPr>
        <w:t xml:space="preserve"> SNA » poursuit l’objectif d’apporter le cofinancement nécessaire aux demandes de </w:t>
      </w:r>
      <w:proofErr w:type="spellStart"/>
      <w:r>
        <w:rPr>
          <w:rFonts w:cstheme="minorHAnsi"/>
        </w:rPr>
        <w:t>pré-maturation</w:t>
      </w:r>
      <w:proofErr w:type="spellEnd"/>
      <w:r>
        <w:rPr>
          <w:rFonts w:cstheme="minorHAnsi"/>
        </w:rPr>
        <w:t xml:space="preserve"> présentée devant les consortia maturation-prématuration.</w:t>
      </w:r>
    </w:p>
    <w:p w14:paraId="1C323F05" w14:textId="77777777" w:rsidR="00E27F39" w:rsidRDefault="00E27F39">
      <w:pPr>
        <w:spacing w:line="240" w:lineRule="auto"/>
        <w:rPr>
          <w:rFonts w:cstheme="minorHAnsi"/>
        </w:rPr>
      </w:pPr>
    </w:p>
    <w:p w14:paraId="1C323F06" w14:textId="77777777" w:rsidR="00E27F39" w:rsidRDefault="00A83124">
      <w:pPr>
        <w:spacing w:line="240" w:lineRule="auto"/>
        <w:rPr>
          <w:rFonts w:cstheme="minorHAnsi"/>
          <w:b/>
          <w:bCs/>
        </w:rPr>
      </w:pPr>
      <w:r>
        <w:rPr>
          <w:rFonts w:cstheme="minorHAnsi"/>
          <w:b/>
          <w:bCs/>
        </w:rPr>
        <w:t xml:space="preserve">Sont exclus de cet appel à projets : </w:t>
      </w:r>
    </w:p>
    <w:p w14:paraId="1C323F07" w14:textId="77777777" w:rsidR="00E27F39" w:rsidRDefault="00A83124">
      <w:pPr>
        <w:pStyle w:val="Paragraphedeliste"/>
        <w:numPr>
          <w:ilvl w:val="0"/>
          <w:numId w:val="22"/>
        </w:numPr>
        <w:spacing w:line="240" w:lineRule="auto"/>
        <w:rPr>
          <w:rFonts w:cstheme="minorHAnsi"/>
          <w:b/>
          <w:bCs/>
        </w:rPr>
      </w:pPr>
      <w:r>
        <w:rPr>
          <w:rFonts w:cstheme="minorHAnsi"/>
          <w:b/>
          <w:bCs/>
        </w:rPr>
        <w:t>Les projets présentés en phase de maturation</w:t>
      </w:r>
    </w:p>
    <w:p w14:paraId="1C323F08" w14:textId="77777777" w:rsidR="00E27F39" w:rsidRDefault="00A83124">
      <w:pPr>
        <w:pStyle w:val="Paragraphedeliste"/>
        <w:numPr>
          <w:ilvl w:val="0"/>
          <w:numId w:val="22"/>
        </w:numPr>
        <w:spacing w:line="240" w:lineRule="auto"/>
        <w:rPr>
          <w:rFonts w:cstheme="minorHAnsi"/>
          <w:b/>
          <w:bCs/>
        </w:rPr>
      </w:pPr>
      <w:r>
        <w:rPr>
          <w:rFonts w:cstheme="minorHAnsi"/>
          <w:b/>
          <w:bCs/>
        </w:rPr>
        <w:t>Les compléments de prématuration pour des consortia n’en imposant pas</w:t>
      </w:r>
    </w:p>
    <w:p w14:paraId="1C323F09" w14:textId="77777777" w:rsidR="00E27F39" w:rsidRDefault="00E27F39">
      <w:pPr>
        <w:spacing w:line="240" w:lineRule="auto"/>
        <w:rPr>
          <w:rFonts w:cstheme="minorHAnsi"/>
        </w:rPr>
      </w:pPr>
    </w:p>
    <w:p w14:paraId="1C323F0A" w14:textId="77777777" w:rsidR="00E27F39" w:rsidRDefault="00A83124">
      <w:pPr>
        <w:spacing w:line="240" w:lineRule="auto"/>
        <w:rPr>
          <w:rFonts w:cstheme="minorHAnsi"/>
        </w:rPr>
      </w:pPr>
      <w:r>
        <w:rPr>
          <w:rFonts w:cstheme="minorHAnsi"/>
        </w:rPr>
        <w:t>L’appel à projets vise à amplifier l’émergence de nouvelles innovations par une articulation plus fine</w:t>
      </w:r>
      <w:r>
        <w:rPr>
          <w:rFonts w:cstheme="minorHAnsi"/>
        </w:rPr>
        <w:t xml:space="preserve"> avec les consortia maturation-prématuration.</w:t>
      </w:r>
    </w:p>
    <w:p w14:paraId="1C323F0B" w14:textId="77777777" w:rsidR="00E27F39" w:rsidRDefault="00E27F39">
      <w:pPr>
        <w:spacing w:line="240" w:lineRule="auto"/>
        <w:rPr>
          <w:rFonts w:cstheme="minorHAnsi"/>
          <w:color w:val="000000"/>
        </w:rPr>
      </w:pPr>
    </w:p>
    <w:p w14:paraId="1C323F0C" w14:textId="77777777" w:rsidR="00E27F39" w:rsidRDefault="00A83124">
      <w:pPr>
        <w:pStyle w:val="Paragraphedeliste"/>
        <w:numPr>
          <w:ilvl w:val="0"/>
          <w:numId w:val="6"/>
        </w:numPr>
        <w:spacing w:line="240" w:lineRule="auto"/>
        <w:rPr>
          <w:rFonts w:cstheme="minorHAnsi"/>
          <w:b/>
          <w:bCs/>
          <w:color w:val="345A89"/>
        </w:rPr>
      </w:pPr>
      <w:r>
        <w:rPr>
          <w:rFonts w:cstheme="minorHAnsi"/>
          <w:b/>
          <w:bCs/>
          <w:color w:val="345A89"/>
        </w:rPr>
        <w:t>Financement et durée</w:t>
      </w:r>
    </w:p>
    <w:bookmarkEnd w:id="1"/>
    <w:p w14:paraId="1C323F0D" w14:textId="77777777" w:rsidR="00E27F39" w:rsidRDefault="00E27F39">
      <w:pPr>
        <w:spacing w:line="240" w:lineRule="auto"/>
        <w:rPr>
          <w:rFonts w:cstheme="minorHAnsi"/>
          <w:color w:val="000000"/>
        </w:rPr>
      </w:pPr>
    </w:p>
    <w:p w14:paraId="1C323F0E" w14:textId="77777777" w:rsidR="00E27F39" w:rsidRDefault="00A83124">
      <w:pPr>
        <w:spacing w:line="240" w:lineRule="auto"/>
        <w:rPr>
          <w:rFonts w:cstheme="minorHAnsi"/>
          <w:color w:val="000000"/>
        </w:rPr>
      </w:pPr>
      <w:r>
        <w:rPr>
          <w:rFonts w:cstheme="minorHAnsi"/>
          <w:color w:val="000000"/>
        </w:rPr>
        <w:t xml:space="preserve">L’enveloppe de financement apportée par le PUI </w:t>
      </w:r>
      <w:proofErr w:type="spellStart"/>
      <w:r>
        <w:rPr>
          <w:rFonts w:cstheme="minorHAnsi"/>
          <w:color w:val="000000"/>
        </w:rPr>
        <w:t>Med’Innov</w:t>
      </w:r>
      <w:proofErr w:type="spellEnd"/>
      <w:r>
        <w:rPr>
          <w:rFonts w:cstheme="minorHAnsi"/>
          <w:color w:val="000000"/>
        </w:rPr>
        <w:t xml:space="preserve"> ne peut excéder 20% de co-financement, dans la limite de 50.000 euros. Elle ne peut être utilisée que pour des besoins humains ou </w:t>
      </w:r>
      <w:r>
        <w:rPr>
          <w:rFonts w:cstheme="minorHAnsi"/>
          <w:color w:val="000000"/>
        </w:rPr>
        <w:t>consommables. Les prestations de services sont exclues.</w:t>
      </w:r>
    </w:p>
    <w:p w14:paraId="1C323F0F" w14:textId="77777777" w:rsidR="00E27F39" w:rsidRDefault="00E27F39">
      <w:pPr>
        <w:spacing w:line="240" w:lineRule="auto"/>
        <w:rPr>
          <w:rFonts w:cstheme="minorHAnsi"/>
          <w:color w:val="000000"/>
        </w:rPr>
      </w:pPr>
    </w:p>
    <w:p w14:paraId="1C323F10" w14:textId="77777777" w:rsidR="00E27F39" w:rsidRDefault="00A83124">
      <w:pPr>
        <w:spacing w:line="240" w:lineRule="auto"/>
        <w:rPr>
          <w:rFonts w:cstheme="minorHAnsi"/>
          <w:color w:val="000000"/>
        </w:rPr>
      </w:pPr>
      <w:r>
        <w:rPr>
          <w:rFonts w:cstheme="minorHAnsi"/>
          <w:color w:val="000000"/>
        </w:rPr>
        <w:t>Les fonds sont versés aux laboratoires et disponibles sur la durée du projet financé par le consortium SNA visé, dans la limite de la durée propre d’éligibilité des dépenses du PUI.</w:t>
      </w:r>
    </w:p>
    <w:p w14:paraId="1C323F11" w14:textId="77777777" w:rsidR="00E27F39" w:rsidRDefault="00E27F39">
      <w:pPr>
        <w:spacing w:line="240" w:lineRule="auto"/>
        <w:rPr>
          <w:rFonts w:cstheme="minorHAnsi"/>
          <w:color w:val="000000"/>
        </w:rPr>
      </w:pPr>
    </w:p>
    <w:p w14:paraId="1C323F12" w14:textId="77777777" w:rsidR="00E27F39" w:rsidRDefault="00A83124">
      <w:pPr>
        <w:pStyle w:val="Paragraphedeliste"/>
        <w:numPr>
          <w:ilvl w:val="0"/>
          <w:numId w:val="6"/>
        </w:numPr>
        <w:spacing w:line="240" w:lineRule="auto"/>
        <w:rPr>
          <w:rFonts w:cstheme="minorHAnsi"/>
          <w:b/>
          <w:bCs/>
          <w:color w:val="345A89"/>
        </w:rPr>
      </w:pPr>
      <w:r>
        <w:rPr>
          <w:rFonts w:cstheme="minorHAnsi"/>
          <w:b/>
          <w:bCs/>
          <w:color w:val="345A89"/>
        </w:rPr>
        <w:t xml:space="preserve">Projets visés </w:t>
      </w:r>
    </w:p>
    <w:p w14:paraId="1C323F13" w14:textId="77777777" w:rsidR="00E27F39" w:rsidRDefault="00E27F39">
      <w:pPr>
        <w:spacing w:line="240" w:lineRule="auto"/>
        <w:rPr>
          <w:rFonts w:cstheme="minorHAnsi"/>
          <w:color w:val="000000"/>
        </w:rPr>
      </w:pPr>
    </w:p>
    <w:p w14:paraId="1C323F14" w14:textId="77777777" w:rsidR="00E27F39" w:rsidRDefault="00A83124">
      <w:pPr>
        <w:rPr>
          <w:rFonts w:cstheme="minorHAnsi"/>
          <w:color w:val="000000"/>
        </w:rPr>
      </w:pPr>
      <w:r>
        <w:rPr>
          <w:rFonts w:cstheme="minorHAnsi"/>
          <w:color w:val="000000"/>
        </w:rPr>
        <w:t>Les projets candidats devront :</w:t>
      </w:r>
    </w:p>
    <w:p w14:paraId="1C323F15" w14:textId="77777777" w:rsidR="00E27F39" w:rsidRDefault="00A83124">
      <w:pPr>
        <w:pStyle w:val="Paragraphedeliste"/>
        <w:numPr>
          <w:ilvl w:val="0"/>
          <w:numId w:val="23"/>
        </w:numPr>
        <w:rPr>
          <w:rFonts w:cstheme="minorHAnsi"/>
          <w:color w:val="000000"/>
        </w:rPr>
      </w:pPr>
      <w:r>
        <w:rPr>
          <w:rFonts w:cstheme="minorHAnsi"/>
          <w:color w:val="000000"/>
        </w:rPr>
        <w:t>Être portés par une ou plusieurs équipes issues d’une entité de recherche d’un des membres fondateurs</w:t>
      </w:r>
    </w:p>
    <w:p w14:paraId="1C323F16" w14:textId="77777777" w:rsidR="00E27F39" w:rsidRDefault="00A83124">
      <w:pPr>
        <w:ind w:firstLine="360"/>
        <w:rPr>
          <w:rFonts w:cstheme="minorHAnsi"/>
          <w:color w:val="000000"/>
        </w:rPr>
      </w:pPr>
      <w:proofErr w:type="gramStart"/>
      <w:r>
        <w:rPr>
          <w:rFonts w:cstheme="minorHAnsi"/>
          <w:color w:val="000000"/>
        </w:rPr>
        <w:t>du</w:t>
      </w:r>
      <w:proofErr w:type="gramEnd"/>
      <w:r>
        <w:rPr>
          <w:rFonts w:cstheme="minorHAnsi"/>
          <w:color w:val="000000"/>
        </w:rPr>
        <w:t xml:space="preserve"> PUI MED’INNOV ;</w:t>
      </w:r>
    </w:p>
    <w:p w14:paraId="1C323F17" w14:textId="77777777" w:rsidR="00E27F39" w:rsidRDefault="00A83124">
      <w:pPr>
        <w:pStyle w:val="Paragraphedeliste"/>
        <w:numPr>
          <w:ilvl w:val="0"/>
          <w:numId w:val="23"/>
        </w:numPr>
        <w:rPr>
          <w:rFonts w:cstheme="minorHAnsi"/>
          <w:color w:val="000000"/>
        </w:rPr>
      </w:pPr>
      <w:r>
        <w:rPr>
          <w:rFonts w:cstheme="minorHAnsi"/>
          <w:color w:val="000000"/>
        </w:rPr>
        <w:t>S’appuyer sur une déclaration d’invention ou document déclaratif similaire fourni par la tutelle gestio</w:t>
      </w:r>
      <w:r>
        <w:rPr>
          <w:rFonts w:cstheme="minorHAnsi"/>
          <w:color w:val="000000"/>
        </w:rPr>
        <w:t>nnaire</w:t>
      </w:r>
    </w:p>
    <w:p w14:paraId="1C323F18" w14:textId="77777777" w:rsidR="00E27F39" w:rsidRDefault="00A83124">
      <w:pPr>
        <w:ind w:firstLine="360"/>
        <w:rPr>
          <w:rFonts w:cstheme="minorHAnsi"/>
          <w:color w:val="000000"/>
        </w:rPr>
      </w:pPr>
      <w:proofErr w:type="gramStart"/>
      <w:r>
        <w:rPr>
          <w:rFonts w:cstheme="minorHAnsi"/>
          <w:color w:val="000000"/>
        </w:rPr>
        <w:t>d’une</w:t>
      </w:r>
      <w:proofErr w:type="gramEnd"/>
      <w:r>
        <w:rPr>
          <w:rFonts w:cstheme="minorHAnsi"/>
          <w:color w:val="000000"/>
        </w:rPr>
        <w:t xml:space="preserve"> structure d’un des Fondateurs du PUI MED’INNOV ;</w:t>
      </w:r>
    </w:p>
    <w:p w14:paraId="1C323F19" w14:textId="77777777" w:rsidR="00E27F39" w:rsidRDefault="00A83124">
      <w:pPr>
        <w:pStyle w:val="Paragraphedeliste"/>
        <w:numPr>
          <w:ilvl w:val="0"/>
          <w:numId w:val="23"/>
        </w:numPr>
        <w:rPr>
          <w:rFonts w:cstheme="minorHAnsi"/>
          <w:color w:val="000000"/>
        </w:rPr>
      </w:pPr>
      <w:r>
        <w:rPr>
          <w:rFonts w:cstheme="minorHAnsi"/>
          <w:color w:val="000000"/>
        </w:rPr>
        <w:t>Être évalués en TRL 1 ou 2 et viser une sortie en TRL 3.</w:t>
      </w:r>
    </w:p>
    <w:bookmarkEnd w:id="0"/>
    <w:p w14:paraId="1C323F1A" w14:textId="77777777" w:rsidR="00E27F39" w:rsidRDefault="00E27F39">
      <w:pPr>
        <w:rPr>
          <w:rFonts w:cstheme="minorHAnsi"/>
          <w:color w:val="000000"/>
        </w:rPr>
      </w:pPr>
    </w:p>
    <w:p w14:paraId="1C323F1B" w14:textId="77777777" w:rsidR="00E27F39" w:rsidRDefault="00A83124">
      <w:pPr>
        <w:pStyle w:val="Paragraphedeliste"/>
        <w:numPr>
          <w:ilvl w:val="0"/>
          <w:numId w:val="6"/>
        </w:numPr>
        <w:spacing w:line="240" w:lineRule="auto"/>
        <w:rPr>
          <w:rFonts w:cstheme="minorHAnsi"/>
          <w:b/>
          <w:bCs/>
          <w:color w:val="345A89"/>
        </w:rPr>
      </w:pPr>
      <w:r>
        <w:rPr>
          <w:rFonts w:cstheme="minorHAnsi"/>
          <w:b/>
          <w:bCs/>
          <w:color w:val="345A89"/>
        </w:rPr>
        <w:t xml:space="preserve">Soumission </w:t>
      </w:r>
    </w:p>
    <w:p w14:paraId="1C323F1C" w14:textId="77777777" w:rsidR="00E27F39" w:rsidRDefault="00E27F39"/>
    <w:p w14:paraId="1C323F1D" w14:textId="77777777" w:rsidR="00E27F39" w:rsidRDefault="00A83124">
      <w:r>
        <w:t>Le projet doit être décrit dans un document rédigé en français, dont la structure respecte le format proposé par le documen</w:t>
      </w:r>
      <w:r>
        <w:t xml:space="preserve">t « AAP MED’INNOV – Complément </w:t>
      </w:r>
      <w:proofErr w:type="spellStart"/>
      <w:r>
        <w:t>pré-maturation</w:t>
      </w:r>
      <w:proofErr w:type="spellEnd"/>
      <w:r>
        <w:t xml:space="preserve"> SNA – Modèle de réponse »</w:t>
      </w:r>
    </w:p>
    <w:p w14:paraId="1C323F1E" w14:textId="77777777" w:rsidR="00E27F39" w:rsidRDefault="00E27F39"/>
    <w:p w14:paraId="1C323F1F" w14:textId="77777777" w:rsidR="00E27F39" w:rsidRDefault="00A83124">
      <w:r>
        <w:t xml:space="preserve">Il doit être visé par le mandataire unique du projet et la structure de valorisation qui le suit, le cas échéant. </w:t>
      </w:r>
    </w:p>
    <w:p w14:paraId="1C323F20" w14:textId="77777777" w:rsidR="00E27F39" w:rsidRDefault="00E27F39"/>
    <w:p w14:paraId="1C323F21" w14:textId="77777777" w:rsidR="00E27F39" w:rsidRDefault="00A83124">
      <w:r>
        <w:t xml:space="preserve">Une fois finalisé, le document est envoyé au format PDF à l’adresse mail suivante avec la mention « AAP Complément </w:t>
      </w:r>
      <w:proofErr w:type="spellStart"/>
      <w:r>
        <w:t>pré-maturation</w:t>
      </w:r>
      <w:proofErr w:type="spellEnd"/>
      <w:r>
        <w:t xml:space="preserve"> SNA – Cand</w:t>
      </w:r>
      <w:r>
        <w:t>idature » dans l’objet : aap-medinnov@inria.fr, copie medinnov.support@listes.univ-cotedazur.fr</w:t>
      </w:r>
    </w:p>
    <w:p w14:paraId="1C323F22" w14:textId="77777777" w:rsidR="00E27F39" w:rsidRDefault="00E27F39"/>
    <w:p w14:paraId="1C323F23" w14:textId="77777777" w:rsidR="00E27F39" w:rsidRDefault="00A83124">
      <w:r>
        <w:t>Les projets déposés sont évalués chaque mois par la formation restreinte de la Commission Innovation Valorisation (CIV). L’avis étayé de la CIV est transmis au</w:t>
      </w:r>
      <w:r>
        <w:t xml:space="preserve"> Comité de Pilotage du Pôle Universitaire d’Innovation « </w:t>
      </w:r>
      <w:proofErr w:type="spellStart"/>
      <w:r>
        <w:t>Med’Innov</w:t>
      </w:r>
      <w:proofErr w:type="spellEnd"/>
      <w:r>
        <w:t xml:space="preserve"> » pour décision.  </w:t>
      </w:r>
    </w:p>
    <w:sectPr w:rsidR="00E27F3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3F28" w14:textId="77777777" w:rsidR="00E27F39" w:rsidRDefault="00A83124">
      <w:pPr>
        <w:spacing w:line="240" w:lineRule="auto"/>
      </w:pPr>
      <w:r>
        <w:separator/>
      </w:r>
    </w:p>
  </w:endnote>
  <w:endnote w:type="continuationSeparator" w:id="0">
    <w:p w14:paraId="1C323F29" w14:textId="77777777" w:rsidR="00E27F39" w:rsidRDefault="00A83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7DBE" w14:textId="77777777" w:rsidR="00A83124" w:rsidRDefault="00A831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601020"/>
      <w:docPartObj>
        <w:docPartGallery w:val="Page Numbers (Bottom of Page)"/>
        <w:docPartUnique/>
      </w:docPartObj>
    </w:sdtPr>
    <w:sdtEndPr/>
    <w:sdtContent>
      <w:p w14:paraId="1C323F2C" w14:textId="77777777" w:rsidR="00E27F39" w:rsidRDefault="00A83124">
        <w:pPr>
          <w:pStyle w:val="Pieddepage"/>
          <w:jc w:val="right"/>
        </w:pPr>
        <w:r>
          <w:fldChar w:fldCharType="begin"/>
        </w:r>
        <w:r>
          <w:instrText>PAGE   \* MERGEFORMAT</w:instrText>
        </w:r>
        <w:r>
          <w:fldChar w:fldCharType="separate"/>
        </w:r>
        <w:r>
          <w:t>2</w:t>
        </w:r>
        <w:r>
          <w:fldChar w:fldCharType="end"/>
        </w:r>
      </w:p>
    </w:sdtContent>
  </w:sdt>
  <w:p w14:paraId="1C323F2D" w14:textId="77777777" w:rsidR="00E27F39" w:rsidRDefault="00E27F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3F2E" w14:textId="77777777" w:rsidR="00E27F39" w:rsidRDefault="00A83124">
    <w:pPr>
      <w:pStyle w:val="Pieddepage"/>
      <w:rPr>
        <w:i/>
        <w:iCs/>
      </w:rPr>
    </w:pPr>
    <w:r>
      <w:rPr>
        <w:i/>
        <w:iCs/>
        <w:noProof/>
      </w:rPr>
      <mc:AlternateContent>
        <mc:Choice Requires="wpg">
          <w:drawing>
            <wp:anchor distT="0" distB="0" distL="114300" distR="114300" simplePos="0" relativeHeight="251659264" behindDoc="0" locked="0" layoutInCell="1" allowOverlap="1" wp14:anchorId="1C323F31" wp14:editId="1C323F32">
              <wp:simplePos x="0" y="0"/>
              <wp:positionH relativeFrom="rightMargin">
                <wp:align>left</wp:align>
              </wp:positionH>
              <wp:positionV relativeFrom="paragraph">
                <wp:posOffset>-186055</wp:posOffset>
              </wp:positionV>
              <wp:extent cx="609600" cy="608330"/>
              <wp:effectExtent l="0" t="0" r="0" b="1270"/>
              <wp:wrapSquare wrapText="bothSides"/>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
                      <a:stretch/>
                    </pic:blipFill>
                    <pic:spPr bwMode="auto">
                      <a:xfrm>
                        <a:off x="0" y="0"/>
                        <a:ext cx="609600" cy="60833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right-margin-area;mso-position-horizontal:left;mso-position-vertical-relative:text;margin-top:-14.65pt;mso-position-vertical:absolute;width:48.00pt;height:47.90pt;mso-wrap-distance-left:9.00pt;mso-wrap-distance-top:0.00pt;mso-wrap-distance-right:9.00pt;mso-wrap-distance-bottom:0.00pt;z-index:1;" stroked="false">
              <w10:wrap type="square"/>
              <v:imagedata r:id="rId2" o:title=""/>
              <o:lock v:ext="edit" rotation="t"/>
            </v:shape>
          </w:pict>
        </mc:Fallback>
      </mc:AlternateContent>
    </w:r>
    <w:r>
      <w:rPr>
        <w:i/>
        <w:iCs/>
      </w:rPr>
      <w:t xml:space="preserve">Ce projet a été financé par l’État dans le cadre de France 2030.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3F26" w14:textId="77777777" w:rsidR="00E27F39" w:rsidRDefault="00A83124">
      <w:pPr>
        <w:spacing w:line="240" w:lineRule="auto"/>
      </w:pPr>
      <w:r>
        <w:separator/>
      </w:r>
    </w:p>
  </w:footnote>
  <w:footnote w:type="continuationSeparator" w:id="0">
    <w:p w14:paraId="1C323F27" w14:textId="77777777" w:rsidR="00E27F39" w:rsidRDefault="00A831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88F2" w14:textId="77777777" w:rsidR="00A83124" w:rsidRDefault="00A831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3F2A" w14:textId="77777777" w:rsidR="00E27F39" w:rsidRDefault="00A83124">
    <w:pPr>
      <w:pStyle w:val="En-tte"/>
      <w:rPr>
        <w:i/>
        <w:iCs/>
        <w:color w:val="002060"/>
      </w:rPr>
    </w:pPr>
    <w:r>
      <w:rPr>
        <w:i/>
        <w:iCs/>
        <w:noProof/>
        <w:color w:val="002060"/>
      </w:rPr>
      <w:drawing>
        <wp:anchor distT="0" distB="0" distL="114300" distR="114300" simplePos="0" relativeHeight="251658240" behindDoc="0" locked="0" layoutInCell="1" allowOverlap="1" wp14:anchorId="1C323F2F" wp14:editId="3B304FF2">
          <wp:simplePos x="0" y="0"/>
          <wp:positionH relativeFrom="margin">
            <wp:posOffset>5252720</wp:posOffset>
          </wp:positionH>
          <wp:positionV relativeFrom="paragraph">
            <wp:posOffset>-190500</wp:posOffset>
          </wp:positionV>
          <wp:extent cx="638175" cy="621030"/>
          <wp:effectExtent l="0" t="0" r="9525" b="762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175" cy="621030"/>
                  </a:xfrm>
                  <a:prstGeom prst="rect">
                    <a:avLst/>
                  </a:prstGeom>
                </pic:spPr>
              </pic:pic>
            </a:graphicData>
          </a:graphic>
          <wp14:sizeRelH relativeFrom="margin">
            <wp14:pctWidth>0</wp14:pctWidth>
          </wp14:sizeRelH>
          <wp14:sizeRelV relativeFrom="margin">
            <wp14:pctHeight>0</wp14:pctHeight>
          </wp14:sizeRelV>
        </wp:anchor>
      </w:drawing>
    </w:r>
    <w:r>
      <w:rPr>
        <w:i/>
        <w:iCs/>
        <w:color w:val="002060"/>
      </w:rPr>
      <w:t>Appel à Projets « Complément SNA »</w:t>
    </w:r>
  </w:p>
  <w:p w14:paraId="1C323F2B" w14:textId="77777777" w:rsidR="00E27F39" w:rsidRDefault="00A83124">
    <w:pPr>
      <w:pStyle w:val="En-tte"/>
      <w:rPr>
        <w:b/>
        <w:bCs/>
        <w:i/>
        <w:iCs/>
        <w:color w:val="002060"/>
      </w:rPr>
    </w:pPr>
    <w:r>
      <w:rPr>
        <w:i/>
        <w:iCs/>
        <w:color w:val="002060"/>
      </w:rPr>
      <w:t>Pôle Universitaire d’Innovation MED’INNOV</w:t>
    </w:r>
    <w:r>
      <w:rPr>
        <w:b/>
        <w:bCs/>
        <w:i/>
        <w:iCs/>
        <w:color w:val="00206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742B" w14:textId="77777777" w:rsidR="00A83124" w:rsidRDefault="00A831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254"/>
    <w:multiLevelType w:val="multilevel"/>
    <w:tmpl w:val="1E7E3294"/>
    <w:lvl w:ilvl="0">
      <w:numFmt w:val="bullet"/>
      <w:lvlText w:val="-"/>
      <w:lvlJc w:val="left"/>
      <w:pPr>
        <w:ind w:left="1068" w:hanging="360"/>
      </w:pPr>
      <w:rPr>
        <w:rFonts w:ascii="Cambria" w:eastAsiaTheme="minorHAnsi" w:hAnsi="Cambria" w:cs="Cambria"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1DBB3384"/>
    <w:multiLevelType w:val="multilevel"/>
    <w:tmpl w:val="2FD8FD5C"/>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6E77D0"/>
    <w:multiLevelType w:val="multilevel"/>
    <w:tmpl w:val="7EBEAB78"/>
    <w:lvl w:ilvl="0">
      <w:numFmt w:val="bullet"/>
      <w:lvlText w:val="-"/>
      <w:lvlJc w:val="left"/>
      <w:pPr>
        <w:ind w:left="1440" w:hanging="360"/>
      </w:pPr>
      <w:rPr>
        <w:rFonts w:ascii="Cambria" w:eastAsiaTheme="minorHAnsi" w:hAnsi="Cambria" w:cs="Cambria"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238E4314"/>
    <w:multiLevelType w:val="multilevel"/>
    <w:tmpl w:val="558E80B2"/>
    <w:lvl w:ilvl="0">
      <w:numFmt w:val="bullet"/>
      <w:lvlText w:val="-"/>
      <w:lvlJc w:val="left"/>
      <w:pPr>
        <w:ind w:left="1440" w:hanging="360"/>
      </w:pPr>
      <w:rPr>
        <w:rFonts w:ascii="Cambria" w:eastAsiaTheme="minorHAnsi" w:hAnsi="Cambria" w:cs="Cambria"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45B6FA7"/>
    <w:multiLevelType w:val="multilevel"/>
    <w:tmpl w:val="6FFA3A20"/>
    <w:lvl w:ilvl="0">
      <w:numFmt w:val="bullet"/>
      <w:lvlText w:val="-"/>
      <w:lvlJc w:val="left"/>
      <w:pPr>
        <w:ind w:left="720" w:hanging="360"/>
      </w:pPr>
      <w:rPr>
        <w:rFonts w:ascii="Cambria" w:eastAsiaTheme="minorHAnsi" w:hAnsi="Cambria" w:cs="Cambria" w:hint="default"/>
      </w:rPr>
    </w:lvl>
    <w:lvl w:ilvl="1">
      <w:numFmt w:val="bullet"/>
      <w:lvlText w:val="-"/>
      <w:lvlJc w:val="left"/>
      <w:pPr>
        <w:ind w:left="1440" w:hanging="360"/>
      </w:pPr>
      <w:rPr>
        <w:rFonts w:ascii="Cambria" w:eastAsiaTheme="minorHAnsi" w:hAnsi="Cambria" w:cs="Cambri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B71A6D"/>
    <w:multiLevelType w:val="multilevel"/>
    <w:tmpl w:val="10C6C3C8"/>
    <w:lvl w:ilvl="0">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DC0BBE"/>
    <w:multiLevelType w:val="multilevel"/>
    <w:tmpl w:val="3A38F0D2"/>
    <w:lvl w:ilvl="0">
      <w:start w:val="2023"/>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D65D26"/>
    <w:multiLevelType w:val="multilevel"/>
    <w:tmpl w:val="AAF02C9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4D03AE"/>
    <w:multiLevelType w:val="multilevel"/>
    <w:tmpl w:val="B726C0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CA18CE"/>
    <w:multiLevelType w:val="multilevel"/>
    <w:tmpl w:val="93D4A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D97898"/>
    <w:multiLevelType w:val="multilevel"/>
    <w:tmpl w:val="50BCD3A0"/>
    <w:lvl w:ilvl="0">
      <w:start w:val="2"/>
      <w:numFmt w:val="bullet"/>
      <w:lvlText w:val="-"/>
      <w:lvlJc w:val="left"/>
      <w:pPr>
        <w:ind w:left="720" w:hanging="360"/>
      </w:pPr>
      <w:rPr>
        <w:rFonts w:ascii="Arial Narrow" w:eastAsiaTheme="minorHAnsi" w:hAnsi="Arial Narrow"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3E7020"/>
    <w:multiLevelType w:val="multilevel"/>
    <w:tmpl w:val="999A3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B229C8"/>
    <w:multiLevelType w:val="multilevel"/>
    <w:tmpl w:val="1CBE0BE6"/>
    <w:lvl w:ilvl="0">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A31824"/>
    <w:multiLevelType w:val="multilevel"/>
    <w:tmpl w:val="B5EE0720"/>
    <w:lvl w:ilvl="0">
      <w:numFmt w:val="bullet"/>
      <w:lvlText w:val="-"/>
      <w:lvlJc w:val="left"/>
      <w:pPr>
        <w:ind w:left="720" w:hanging="360"/>
      </w:pPr>
      <w:rPr>
        <w:rFonts w:ascii="Cambria" w:eastAsiaTheme="minorHAnsi"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6D5CD5"/>
    <w:multiLevelType w:val="multilevel"/>
    <w:tmpl w:val="1D665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311A04"/>
    <w:multiLevelType w:val="multilevel"/>
    <w:tmpl w:val="99A00FC8"/>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457186"/>
    <w:multiLevelType w:val="multilevel"/>
    <w:tmpl w:val="E6AE5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5E57A1"/>
    <w:multiLevelType w:val="multilevel"/>
    <w:tmpl w:val="1A3A7FE8"/>
    <w:lvl w:ilvl="0">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5D6F9F"/>
    <w:multiLevelType w:val="multilevel"/>
    <w:tmpl w:val="F2BCB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1562A8"/>
    <w:multiLevelType w:val="multilevel"/>
    <w:tmpl w:val="43FA30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6D7173"/>
    <w:multiLevelType w:val="multilevel"/>
    <w:tmpl w:val="247ADD98"/>
    <w:lvl w:ilvl="0">
      <w:numFmt w:val="bullet"/>
      <w:lvlText w:val="-"/>
      <w:lvlJc w:val="left"/>
      <w:pPr>
        <w:ind w:left="720" w:hanging="360"/>
      </w:pPr>
      <w:rPr>
        <w:rFonts w:ascii="Cambria" w:eastAsiaTheme="minorHAnsi"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376A39"/>
    <w:multiLevelType w:val="multilevel"/>
    <w:tmpl w:val="D64A6D34"/>
    <w:lvl w:ilvl="0">
      <w:numFmt w:val="bullet"/>
      <w:lvlText w:val=""/>
      <w:lvlJc w:val="left"/>
      <w:pPr>
        <w:ind w:left="720" w:hanging="360"/>
      </w:pPr>
      <w:rPr>
        <w:rFonts w:ascii="Symbol" w:eastAsiaTheme="minorHAnsi" w:hAnsi="Symbol"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D40626C"/>
    <w:multiLevelType w:val="multilevel"/>
    <w:tmpl w:val="4A70106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2"/>
  </w:num>
  <w:num w:numId="3">
    <w:abstractNumId w:val="8"/>
  </w:num>
  <w:num w:numId="4">
    <w:abstractNumId w:val="9"/>
  </w:num>
  <w:num w:numId="5">
    <w:abstractNumId w:val="22"/>
  </w:num>
  <w:num w:numId="6">
    <w:abstractNumId w:val="15"/>
  </w:num>
  <w:num w:numId="7">
    <w:abstractNumId w:val="6"/>
  </w:num>
  <w:num w:numId="8">
    <w:abstractNumId w:val="7"/>
  </w:num>
  <w:num w:numId="9">
    <w:abstractNumId w:val="19"/>
  </w:num>
  <w:num w:numId="10">
    <w:abstractNumId w:val="16"/>
  </w:num>
  <w:num w:numId="11">
    <w:abstractNumId w:val="13"/>
  </w:num>
  <w:num w:numId="12">
    <w:abstractNumId w:val="2"/>
  </w:num>
  <w:num w:numId="13">
    <w:abstractNumId w:val="3"/>
  </w:num>
  <w:num w:numId="14">
    <w:abstractNumId w:val="0"/>
  </w:num>
  <w:num w:numId="15">
    <w:abstractNumId w:val="17"/>
  </w:num>
  <w:num w:numId="16">
    <w:abstractNumId w:val="21"/>
  </w:num>
  <w:num w:numId="17">
    <w:abstractNumId w:val="5"/>
  </w:num>
  <w:num w:numId="18">
    <w:abstractNumId w:val="1"/>
  </w:num>
  <w:num w:numId="19">
    <w:abstractNumId w:val="18"/>
  </w:num>
  <w:num w:numId="20">
    <w:abstractNumId w:val="14"/>
  </w:num>
  <w:num w:numId="21">
    <w:abstractNumId w:val="11"/>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39"/>
    <w:rsid w:val="00A83124"/>
    <w:rsid w:val="00E2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3EEB"/>
  <w15:docId w15:val="{EFEAEDA6-0D89-4528-A863-0ED33607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jc w:val="both"/>
    </w:pPr>
    <w:rPr>
      <w:rFonts w:ascii="Arial Narrow" w:hAnsi="Arial Narrow"/>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ui-provider">
    <w:name w:val="ui-provider"/>
    <w:basedOn w:val="Policepardfaut"/>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style>
  <w:style w:type="paragraph" w:styleId="Rvision">
    <w:name w:val="Revision"/>
    <w:hidden/>
    <w:uiPriority w:val="99"/>
    <w:semiHidden/>
    <w:pPr>
      <w:spacing w:after="0" w:line="240" w:lineRule="auto"/>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507E-AFD1-46DC-A7E5-FFC86C86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2190</Characters>
  <Application>Microsoft Office Word</Application>
  <DocSecurity>0</DocSecurity>
  <Lines>18</Lines>
  <Paragraphs>5</Paragraphs>
  <ScaleCrop>false</ScaleCrop>
  <Company>UCA</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Biehler</dc:creator>
  <cp:keywords/>
  <dc:description/>
  <cp:lastModifiedBy>Alice De-Forges-De-Parny</cp:lastModifiedBy>
  <cp:revision>5</cp:revision>
  <dcterms:created xsi:type="dcterms:W3CDTF">2025-11-25T14:13:00Z</dcterms:created>
  <dcterms:modified xsi:type="dcterms:W3CDTF">2026-02-10T13:23:00Z</dcterms:modified>
</cp:coreProperties>
</file>